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B9" w:rsidRPr="005C49B9" w:rsidRDefault="005C49B9" w:rsidP="005C49B9">
      <w:pPr>
        <w:jc w:val="center"/>
        <w:rPr>
          <w:rFonts w:ascii="Verdana" w:hAnsi="Verdana"/>
          <w:b/>
          <w:sz w:val="24"/>
          <w:szCs w:val="24"/>
          <w:lang w:val="en-US"/>
        </w:rPr>
      </w:pPr>
      <w:r w:rsidRPr="005C49B9">
        <w:rPr>
          <w:rFonts w:ascii="Verdana" w:hAnsi="Verdana"/>
          <w:b/>
          <w:sz w:val="24"/>
          <w:szCs w:val="24"/>
          <w:lang w:val="en-US"/>
        </w:rPr>
        <w:t>Thirty-Seven Aspects of the Path to Enlightenment</w:t>
      </w:r>
    </w:p>
    <w:p w:rsidR="005C49B9" w:rsidRPr="005C49B9" w:rsidRDefault="005C49B9" w:rsidP="005C49B9">
      <w:pPr>
        <w:rPr>
          <w:rFonts w:ascii="Verdana" w:hAnsi="Verdana"/>
          <w:sz w:val="24"/>
          <w:szCs w:val="24"/>
          <w:lang w:val="en-US"/>
        </w:rPr>
      </w:pPr>
      <w:r w:rsidRPr="005C49B9">
        <w:rPr>
          <w:rFonts w:ascii="Verdana" w:hAnsi="Verdana"/>
          <w:sz w:val="24"/>
          <w:szCs w:val="24"/>
          <w:lang w:val="en-US"/>
        </w:rPr>
        <w:t xml:space="preserve">The thirty-seven aspects of the path to enlightenment are divided into seven groups. They provide </w:t>
      </w:r>
      <w:r w:rsidRPr="005C49B9">
        <w:rPr>
          <w:rFonts w:ascii="Verdana" w:hAnsi="Verdana"/>
          <w:i/>
          <w:sz w:val="24"/>
          <w:szCs w:val="24"/>
          <w:lang w:val="en-US"/>
        </w:rPr>
        <w:t>a general structure of the entire Buddhist path</w:t>
      </w:r>
      <w:r w:rsidRPr="005C49B9">
        <w:rPr>
          <w:rFonts w:ascii="Verdana" w:hAnsi="Verdana"/>
          <w:sz w:val="24"/>
          <w:szCs w:val="24"/>
          <w:lang w:val="en-US"/>
        </w:rPr>
        <w:t>.</w:t>
      </w:r>
    </w:p>
    <w:p w:rsidR="005C49B9" w:rsidRPr="005C49B9" w:rsidRDefault="005C49B9" w:rsidP="005C49B9">
      <w:pPr>
        <w:rPr>
          <w:rFonts w:ascii="Verdana" w:hAnsi="Verdana"/>
          <w:sz w:val="24"/>
          <w:szCs w:val="24"/>
          <w:lang w:val="en-US"/>
        </w:rPr>
      </w:pPr>
      <w:r w:rsidRPr="005C49B9">
        <w:rPr>
          <w:rFonts w:ascii="Verdana" w:hAnsi="Verdana"/>
          <w:sz w:val="24"/>
          <w:szCs w:val="24"/>
          <w:lang w:val="en-US"/>
        </w:rPr>
        <w:t>In fact, the thirty-seven aspects are an integral framework for anyone who is studying Buddhism, since they clearly show what is needed, and at what stage, on the journey to enlightenment.</w:t>
      </w:r>
    </w:p>
    <w:p w:rsidR="005C49B9" w:rsidRPr="005C49B9" w:rsidRDefault="005C49B9" w:rsidP="005C49B9">
      <w:pPr>
        <w:rPr>
          <w:rFonts w:ascii="Verdana" w:hAnsi="Verdana"/>
          <w:sz w:val="24"/>
          <w:szCs w:val="24"/>
          <w:lang w:val="en-US"/>
        </w:rPr>
      </w:pPr>
      <w:r w:rsidRPr="005C49B9">
        <w:rPr>
          <w:rFonts w:ascii="Verdana" w:hAnsi="Verdana"/>
          <w:sz w:val="24"/>
          <w:szCs w:val="24"/>
          <w:lang w:val="en-US"/>
        </w:rPr>
        <w:t xml:space="preserve">Starting from the first group, the four </w:t>
      </w:r>
      <w:proofErr w:type="spellStart"/>
      <w:r w:rsidRPr="005C49B9">
        <w:rPr>
          <w:rFonts w:ascii="Verdana" w:hAnsi="Verdana"/>
          <w:sz w:val="24"/>
          <w:szCs w:val="24"/>
          <w:lang w:val="en-US"/>
        </w:rPr>
        <w:t>mindfulnesses</w:t>
      </w:r>
      <w:proofErr w:type="spellEnd"/>
      <w:r w:rsidRPr="005C49B9">
        <w:rPr>
          <w:rFonts w:ascii="Verdana" w:hAnsi="Verdana"/>
          <w:sz w:val="24"/>
          <w:szCs w:val="24"/>
          <w:lang w:val="en-US"/>
        </w:rPr>
        <w:t>, up to the last group, the noble eightfold path, everything about the thirty-seven aspects is related to the four noble truths, and the practices associated with each of the thirty-seven aspects are tools that can take us from where we are now all the way up to enlightenment.</w:t>
      </w:r>
    </w:p>
    <w:p w:rsidR="005C49B9" w:rsidRPr="005C49B9" w:rsidRDefault="005C49B9" w:rsidP="005C49B9">
      <w:pPr>
        <w:rPr>
          <w:rFonts w:ascii="Verdana" w:hAnsi="Verdana"/>
          <w:sz w:val="24"/>
          <w:szCs w:val="24"/>
          <w:lang w:val="en-US"/>
        </w:rPr>
      </w:pPr>
      <w:r w:rsidRPr="005C49B9">
        <w:rPr>
          <w:rFonts w:ascii="Verdana" w:hAnsi="Verdana"/>
          <w:sz w:val="24"/>
          <w:szCs w:val="24"/>
          <w:lang w:val="en-US"/>
        </w:rPr>
        <w:t>The thirty-seven aspects of the Path to Enlightenment are:</w:t>
      </w:r>
    </w:p>
    <w:p w:rsidR="005C49B9" w:rsidRP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 xml:space="preserve">Four </w:t>
      </w:r>
      <w:proofErr w:type="spellStart"/>
      <w:r w:rsidRPr="005C49B9">
        <w:rPr>
          <w:rFonts w:ascii="Verdana" w:hAnsi="Verdana"/>
          <w:sz w:val="24"/>
          <w:szCs w:val="24"/>
          <w:lang w:val="en-US"/>
        </w:rPr>
        <w:t>mindfulnesses</w:t>
      </w:r>
      <w:proofErr w:type="spellEnd"/>
    </w:p>
    <w:p w:rsidR="005C49B9" w:rsidRP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Four complete abandonments</w:t>
      </w:r>
    </w:p>
    <w:p w:rsidR="005C49B9" w:rsidRP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Four factors of miraculous powers</w:t>
      </w:r>
    </w:p>
    <w:p w:rsidR="005C49B9" w:rsidRP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Five faculties</w:t>
      </w:r>
    </w:p>
    <w:p w:rsidR="005C49B9" w:rsidRP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Five powers</w:t>
      </w:r>
    </w:p>
    <w:p w:rsidR="005C49B9" w:rsidRP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Seven branches of the path to enlightenment</w:t>
      </w:r>
    </w:p>
    <w:p w:rsidR="005C49B9" w:rsidRDefault="005C49B9" w:rsidP="005C49B9">
      <w:pPr>
        <w:numPr>
          <w:ilvl w:val="0"/>
          <w:numId w:val="1"/>
        </w:numPr>
        <w:spacing w:after="0"/>
        <w:rPr>
          <w:rFonts w:ascii="Verdana" w:hAnsi="Verdana"/>
          <w:sz w:val="24"/>
          <w:szCs w:val="24"/>
          <w:lang w:val="en-US"/>
        </w:rPr>
      </w:pPr>
      <w:r w:rsidRPr="005C49B9">
        <w:rPr>
          <w:rFonts w:ascii="Verdana" w:hAnsi="Verdana"/>
          <w:sz w:val="24"/>
          <w:szCs w:val="24"/>
          <w:lang w:val="en-US"/>
        </w:rPr>
        <w:t>The noble eightfold path</w:t>
      </w:r>
    </w:p>
    <w:p w:rsidR="005C49B9" w:rsidRPr="005C49B9" w:rsidRDefault="005C49B9" w:rsidP="005C49B9">
      <w:pPr>
        <w:spacing w:after="0"/>
        <w:ind w:left="720"/>
        <w:rPr>
          <w:rFonts w:ascii="Verdana" w:hAnsi="Verdana"/>
          <w:sz w:val="24"/>
          <w:szCs w:val="24"/>
          <w:lang w:val="en-US"/>
        </w:rPr>
      </w:pPr>
    </w:p>
    <w:p w:rsidR="005C49B9" w:rsidRPr="005C49B9" w:rsidRDefault="005C49B9" w:rsidP="005C49B9">
      <w:pPr>
        <w:rPr>
          <w:rFonts w:ascii="Verdana" w:hAnsi="Verdana"/>
          <w:sz w:val="24"/>
          <w:szCs w:val="24"/>
          <w:lang w:val="en-US"/>
        </w:rPr>
      </w:pPr>
      <w:r w:rsidRPr="005C49B9">
        <w:rPr>
          <w:rFonts w:ascii="Verdana" w:hAnsi="Verdana"/>
          <w:sz w:val="24"/>
          <w:szCs w:val="24"/>
          <w:lang w:val="en-US"/>
        </w:rPr>
        <w:t xml:space="preserve">In some Buddhist traditions, it may seem on the surface that these practices are not essential, as they may not be emphasized in the particular tradition. But in reality, they are vital. </w:t>
      </w:r>
      <w:r w:rsidRPr="005C49B9">
        <w:rPr>
          <w:rFonts w:ascii="Verdana" w:hAnsi="Verdana"/>
          <w:i/>
          <w:sz w:val="24"/>
          <w:szCs w:val="24"/>
          <w:lang w:val="en-US"/>
        </w:rPr>
        <w:t>They are the basic structure of any Buddhist practice</w:t>
      </w:r>
      <w:r w:rsidRPr="005C49B9">
        <w:rPr>
          <w:rFonts w:ascii="Verdana" w:hAnsi="Verdana"/>
          <w:sz w:val="24"/>
          <w:szCs w:val="24"/>
          <w:lang w:val="en-US"/>
        </w:rPr>
        <w:t>.</w:t>
      </w:r>
    </w:p>
    <w:p w:rsidR="005C49B9" w:rsidRPr="005C49B9" w:rsidRDefault="005C49B9" w:rsidP="005C49B9">
      <w:pPr>
        <w:rPr>
          <w:rFonts w:ascii="Verdana" w:hAnsi="Verdana"/>
          <w:sz w:val="24"/>
          <w:szCs w:val="24"/>
          <w:lang w:val="en-US"/>
        </w:rPr>
      </w:pPr>
      <w:r w:rsidRPr="005C49B9">
        <w:rPr>
          <w:rFonts w:ascii="Verdana" w:hAnsi="Verdana"/>
          <w:sz w:val="24"/>
          <w:szCs w:val="24"/>
          <w:lang w:val="en-US"/>
        </w:rPr>
        <w:t>The six perfections, and the four means of drawing students to the Dharma, are advanced and are in addition to these thirty-seven aspects, not substitutes for them.</w:t>
      </w:r>
    </w:p>
    <w:p w:rsidR="005C49B9" w:rsidRPr="005C49B9" w:rsidRDefault="005C49B9" w:rsidP="005C49B9">
      <w:pPr>
        <w:rPr>
          <w:rFonts w:ascii="Verdana" w:hAnsi="Verdana"/>
          <w:sz w:val="24"/>
          <w:szCs w:val="24"/>
          <w:lang w:val="en-US"/>
        </w:rPr>
      </w:pPr>
      <w:r w:rsidRPr="005C49B9">
        <w:rPr>
          <w:rFonts w:ascii="Verdana" w:hAnsi="Verdana"/>
          <w:sz w:val="24"/>
          <w:szCs w:val="24"/>
          <w:lang w:val="en-US"/>
        </w:rPr>
        <w:t xml:space="preserve">The six perfections (Skt. </w:t>
      </w:r>
      <w:proofErr w:type="spellStart"/>
      <w:r w:rsidRPr="005C49B9">
        <w:rPr>
          <w:rFonts w:ascii="Verdana" w:hAnsi="Verdana"/>
          <w:i/>
          <w:sz w:val="24"/>
          <w:szCs w:val="24"/>
          <w:lang w:val="en-US"/>
        </w:rPr>
        <w:t>paramitas</w:t>
      </w:r>
      <w:proofErr w:type="spellEnd"/>
      <w:r w:rsidRPr="005C49B9">
        <w:rPr>
          <w:rFonts w:ascii="Verdana" w:hAnsi="Verdana"/>
          <w:sz w:val="24"/>
          <w:szCs w:val="24"/>
          <w:lang w:val="en-US"/>
        </w:rPr>
        <w:t>) are:</w:t>
      </w:r>
    </w:p>
    <w:p w:rsidR="005C49B9" w:rsidRPr="005C49B9" w:rsidRDefault="005C49B9" w:rsidP="005C49B9">
      <w:pPr>
        <w:numPr>
          <w:ilvl w:val="0"/>
          <w:numId w:val="2"/>
        </w:numPr>
        <w:spacing w:after="0"/>
        <w:rPr>
          <w:rFonts w:ascii="Verdana" w:hAnsi="Verdana"/>
          <w:sz w:val="24"/>
          <w:szCs w:val="24"/>
          <w:lang w:val="en-US"/>
        </w:rPr>
      </w:pPr>
      <w:r w:rsidRPr="005C49B9">
        <w:rPr>
          <w:rFonts w:ascii="Verdana" w:hAnsi="Verdana"/>
          <w:sz w:val="24"/>
          <w:szCs w:val="24"/>
          <w:lang w:val="en-US"/>
        </w:rPr>
        <w:t>Generosity</w:t>
      </w:r>
    </w:p>
    <w:p w:rsidR="005C49B9" w:rsidRPr="005C49B9" w:rsidRDefault="005C49B9" w:rsidP="005C49B9">
      <w:pPr>
        <w:numPr>
          <w:ilvl w:val="0"/>
          <w:numId w:val="2"/>
        </w:numPr>
        <w:spacing w:after="0"/>
        <w:rPr>
          <w:rFonts w:ascii="Verdana" w:hAnsi="Verdana"/>
          <w:sz w:val="24"/>
          <w:szCs w:val="24"/>
          <w:lang w:val="en-US"/>
        </w:rPr>
      </w:pPr>
      <w:r w:rsidRPr="005C49B9">
        <w:rPr>
          <w:rFonts w:ascii="Verdana" w:hAnsi="Verdana"/>
          <w:sz w:val="24"/>
          <w:szCs w:val="24"/>
          <w:lang w:val="en-US"/>
        </w:rPr>
        <w:t>Ethics</w:t>
      </w:r>
    </w:p>
    <w:p w:rsidR="005C49B9" w:rsidRPr="005C49B9" w:rsidRDefault="005C49B9" w:rsidP="005C49B9">
      <w:pPr>
        <w:numPr>
          <w:ilvl w:val="0"/>
          <w:numId w:val="2"/>
        </w:numPr>
        <w:spacing w:after="0"/>
        <w:rPr>
          <w:rFonts w:ascii="Verdana" w:hAnsi="Verdana"/>
          <w:sz w:val="24"/>
          <w:szCs w:val="24"/>
          <w:lang w:val="en-US"/>
        </w:rPr>
      </w:pPr>
      <w:r w:rsidRPr="005C49B9">
        <w:rPr>
          <w:rFonts w:ascii="Verdana" w:hAnsi="Verdana"/>
          <w:sz w:val="24"/>
          <w:szCs w:val="24"/>
          <w:lang w:val="en-US"/>
        </w:rPr>
        <w:t>Patience</w:t>
      </w:r>
    </w:p>
    <w:p w:rsidR="005C49B9" w:rsidRPr="005C49B9" w:rsidRDefault="005C49B9" w:rsidP="005C49B9">
      <w:pPr>
        <w:numPr>
          <w:ilvl w:val="0"/>
          <w:numId w:val="2"/>
        </w:numPr>
        <w:spacing w:after="0"/>
        <w:rPr>
          <w:rFonts w:ascii="Verdana" w:hAnsi="Verdana"/>
          <w:sz w:val="24"/>
          <w:szCs w:val="24"/>
          <w:lang w:val="en-US"/>
        </w:rPr>
      </w:pPr>
      <w:r w:rsidRPr="005C49B9">
        <w:rPr>
          <w:rFonts w:ascii="Verdana" w:hAnsi="Verdana"/>
          <w:sz w:val="24"/>
          <w:szCs w:val="24"/>
          <w:lang w:val="en-US"/>
        </w:rPr>
        <w:t>Joyous effort</w:t>
      </w:r>
    </w:p>
    <w:p w:rsidR="005C49B9" w:rsidRPr="005C49B9" w:rsidRDefault="005C49B9" w:rsidP="005C49B9">
      <w:pPr>
        <w:numPr>
          <w:ilvl w:val="0"/>
          <w:numId w:val="2"/>
        </w:numPr>
        <w:spacing w:after="0"/>
        <w:rPr>
          <w:rFonts w:ascii="Verdana" w:hAnsi="Verdana"/>
          <w:sz w:val="24"/>
          <w:szCs w:val="24"/>
          <w:lang w:val="en-US"/>
        </w:rPr>
      </w:pPr>
      <w:r w:rsidRPr="005C49B9">
        <w:rPr>
          <w:rFonts w:ascii="Verdana" w:hAnsi="Verdana"/>
          <w:sz w:val="24"/>
          <w:szCs w:val="24"/>
          <w:lang w:val="en-US"/>
        </w:rPr>
        <w:t>Concentration</w:t>
      </w:r>
    </w:p>
    <w:p w:rsidR="005C49B9" w:rsidRDefault="005C49B9" w:rsidP="005C49B9">
      <w:pPr>
        <w:numPr>
          <w:ilvl w:val="0"/>
          <w:numId w:val="2"/>
        </w:numPr>
        <w:spacing w:after="0"/>
        <w:rPr>
          <w:rFonts w:ascii="Verdana" w:hAnsi="Verdana"/>
          <w:sz w:val="24"/>
          <w:szCs w:val="24"/>
          <w:lang w:val="en-US"/>
        </w:rPr>
      </w:pPr>
      <w:r w:rsidRPr="005C49B9">
        <w:rPr>
          <w:rFonts w:ascii="Verdana" w:hAnsi="Verdana"/>
          <w:sz w:val="24"/>
          <w:szCs w:val="24"/>
          <w:lang w:val="en-US"/>
        </w:rPr>
        <w:t>Wisdom (realizing emptiness)</w:t>
      </w:r>
    </w:p>
    <w:p w:rsidR="005C49B9" w:rsidRPr="005C49B9" w:rsidRDefault="005C49B9" w:rsidP="005C49B9">
      <w:pPr>
        <w:spacing w:after="0"/>
        <w:ind w:left="720"/>
        <w:rPr>
          <w:rFonts w:ascii="Verdana" w:hAnsi="Verdana"/>
          <w:sz w:val="24"/>
          <w:szCs w:val="24"/>
          <w:lang w:val="en-US"/>
        </w:rPr>
      </w:pPr>
    </w:p>
    <w:p w:rsidR="005C49B9" w:rsidRPr="005C49B9" w:rsidRDefault="005C49B9" w:rsidP="005C49B9">
      <w:pPr>
        <w:rPr>
          <w:rFonts w:ascii="Verdana" w:hAnsi="Verdana"/>
          <w:sz w:val="24"/>
          <w:szCs w:val="24"/>
          <w:lang w:val="en-US"/>
        </w:rPr>
      </w:pPr>
      <w:r w:rsidRPr="005C49B9">
        <w:rPr>
          <w:rFonts w:ascii="Verdana" w:hAnsi="Verdana"/>
          <w:sz w:val="24"/>
          <w:szCs w:val="24"/>
          <w:lang w:val="en-US"/>
        </w:rPr>
        <w:lastRenderedPageBreak/>
        <w:t>The four means of drawing sentient beings are:</w:t>
      </w:r>
    </w:p>
    <w:p w:rsidR="005C49B9" w:rsidRPr="005C49B9" w:rsidRDefault="005C49B9" w:rsidP="005C49B9">
      <w:pPr>
        <w:numPr>
          <w:ilvl w:val="0"/>
          <w:numId w:val="3"/>
        </w:numPr>
        <w:spacing w:after="0"/>
        <w:rPr>
          <w:rFonts w:ascii="Verdana" w:hAnsi="Verdana"/>
          <w:sz w:val="24"/>
          <w:szCs w:val="24"/>
          <w:lang w:val="en-US"/>
        </w:rPr>
      </w:pPr>
      <w:r w:rsidRPr="005C49B9">
        <w:rPr>
          <w:rFonts w:ascii="Verdana" w:hAnsi="Verdana"/>
          <w:sz w:val="24"/>
          <w:szCs w:val="24"/>
          <w:lang w:val="en-US"/>
        </w:rPr>
        <w:t>Giving (Dharma,</w:t>
      </w:r>
      <w:r>
        <w:rPr>
          <w:rFonts w:ascii="Verdana" w:hAnsi="Verdana"/>
          <w:sz w:val="24"/>
          <w:szCs w:val="24"/>
          <w:lang w:val="en-US"/>
        </w:rPr>
        <w:t xml:space="preserve"> </w:t>
      </w:r>
      <w:r w:rsidRPr="005C49B9">
        <w:rPr>
          <w:rFonts w:ascii="Verdana" w:hAnsi="Verdana"/>
          <w:sz w:val="24"/>
          <w:szCs w:val="24"/>
          <w:lang w:val="en-US"/>
        </w:rPr>
        <w:t>resources, protection from harm, loving kindness)</w:t>
      </w:r>
    </w:p>
    <w:p w:rsidR="005C49B9" w:rsidRPr="005C49B9" w:rsidRDefault="005C49B9" w:rsidP="005C49B9">
      <w:pPr>
        <w:numPr>
          <w:ilvl w:val="0"/>
          <w:numId w:val="3"/>
        </w:numPr>
        <w:spacing w:after="0"/>
        <w:rPr>
          <w:rFonts w:ascii="Verdana" w:hAnsi="Verdana"/>
          <w:sz w:val="24"/>
          <w:szCs w:val="24"/>
          <w:lang w:val="en-US"/>
        </w:rPr>
      </w:pPr>
      <w:r w:rsidRPr="005C49B9">
        <w:rPr>
          <w:rFonts w:ascii="Verdana" w:hAnsi="Verdana"/>
          <w:sz w:val="24"/>
          <w:szCs w:val="24"/>
          <w:lang w:val="en-US"/>
        </w:rPr>
        <w:t>Speaking kind words</w:t>
      </w:r>
    </w:p>
    <w:p w:rsidR="005C49B9" w:rsidRDefault="005C49B9" w:rsidP="005C49B9">
      <w:pPr>
        <w:numPr>
          <w:ilvl w:val="0"/>
          <w:numId w:val="3"/>
        </w:numPr>
        <w:spacing w:after="0"/>
        <w:rPr>
          <w:rFonts w:ascii="Verdana" w:hAnsi="Verdana"/>
          <w:sz w:val="24"/>
          <w:szCs w:val="24"/>
          <w:lang w:val="en-US"/>
        </w:rPr>
      </w:pPr>
      <w:r w:rsidRPr="005C49B9">
        <w:rPr>
          <w:rFonts w:ascii="Verdana" w:hAnsi="Verdana"/>
          <w:sz w:val="24"/>
          <w:szCs w:val="24"/>
          <w:lang w:val="en-US"/>
        </w:rPr>
        <w:t>Teaching according to the level of the student</w:t>
      </w:r>
    </w:p>
    <w:p w:rsidR="005C49B9" w:rsidRPr="005C49B9" w:rsidRDefault="005C49B9" w:rsidP="005C49B9">
      <w:pPr>
        <w:pStyle w:val="ListParagraph"/>
        <w:numPr>
          <w:ilvl w:val="0"/>
          <w:numId w:val="3"/>
        </w:numPr>
        <w:spacing w:after="0"/>
        <w:rPr>
          <w:rFonts w:ascii="Verdana" w:hAnsi="Verdana"/>
          <w:sz w:val="24"/>
          <w:szCs w:val="24"/>
        </w:rPr>
      </w:pPr>
      <w:r w:rsidRPr="005C49B9">
        <w:rPr>
          <w:rFonts w:ascii="Verdana" w:hAnsi="Verdana"/>
          <w:sz w:val="24"/>
          <w:szCs w:val="24"/>
          <w:lang w:val="en-US"/>
        </w:rPr>
        <w:t>Practicing what you teach</w:t>
      </w:r>
    </w:p>
    <w:p w:rsidR="005C49B9" w:rsidRDefault="005C49B9" w:rsidP="005C49B9">
      <w:pPr>
        <w:spacing w:after="0"/>
        <w:rPr>
          <w:rFonts w:ascii="Verdana" w:hAnsi="Verdana"/>
          <w:sz w:val="24"/>
          <w:szCs w:val="24"/>
        </w:rPr>
      </w:pPr>
    </w:p>
    <w:p w:rsidR="005C49B9" w:rsidRPr="005C49B9" w:rsidRDefault="005C49B9" w:rsidP="005C49B9">
      <w:pPr>
        <w:spacing w:after="0"/>
        <w:rPr>
          <w:rFonts w:ascii="Verdana" w:hAnsi="Verdana"/>
          <w:sz w:val="24"/>
          <w:szCs w:val="24"/>
        </w:rPr>
      </w:pPr>
      <w:r w:rsidRPr="005C49B9">
        <w:rPr>
          <w:rFonts w:ascii="Verdana" w:hAnsi="Verdana"/>
          <w:b/>
          <w:bCs/>
          <w:sz w:val="24"/>
          <w:szCs w:val="24"/>
          <w:lang w:val="en-US"/>
        </w:rPr>
        <w:t>Source</w:t>
      </w:r>
      <w:r w:rsidRPr="005C49B9">
        <w:rPr>
          <w:rFonts w:ascii="Verdana" w:hAnsi="Verdana"/>
          <w:sz w:val="24"/>
          <w:szCs w:val="24"/>
          <w:lang w:val="en-US"/>
        </w:rPr>
        <w:t xml:space="preserve">: </w:t>
      </w:r>
      <w:proofErr w:type="spellStart"/>
      <w:r w:rsidRPr="005C49B9">
        <w:rPr>
          <w:rFonts w:ascii="Verdana" w:hAnsi="Verdana"/>
          <w:sz w:val="24"/>
          <w:szCs w:val="24"/>
          <w:lang w:val="en-US"/>
        </w:rPr>
        <w:t>Tsering</w:t>
      </w:r>
      <w:proofErr w:type="spellEnd"/>
      <w:r w:rsidRPr="005C49B9">
        <w:rPr>
          <w:rFonts w:ascii="Verdana" w:hAnsi="Verdana"/>
          <w:sz w:val="24"/>
          <w:szCs w:val="24"/>
          <w:lang w:val="en-US"/>
        </w:rPr>
        <w:t xml:space="preserve">, </w:t>
      </w:r>
      <w:proofErr w:type="spellStart"/>
      <w:r w:rsidRPr="005C49B9">
        <w:rPr>
          <w:rFonts w:ascii="Verdana" w:hAnsi="Verdana"/>
          <w:sz w:val="24"/>
          <w:szCs w:val="24"/>
          <w:lang w:val="en-US"/>
        </w:rPr>
        <w:t>Geshe</w:t>
      </w:r>
      <w:proofErr w:type="spellEnd"/>
      <w:r w:rsidRPr="005C49B9">
        <w:rPr>
          <w:rFonts w:ascii="Verdana" w:hAnsi="Verdana"/>
          <w:sz w:val="24"/>
          <w:szCs w:val="24"/>
          <w:lang w:val="en-US"/>
        </w:rPr>
        <w:t xml:space="preserve"> </w:t>
      </w:r>
      <w:proofErr w:type="spellStart"/>
      <w:r w:rsidRPr="005C49B9">
        <w:rPr>
          <w:rFonts w:ascii="Verdana" w:hAnsi="Verdana"/>
          <w:sz w:val="24"/>
          <w:szCs w:val="24"/>
          <w:lang w:val="en-US"/>
        </w:rPr>
        <w:t>Tashi</w:t>
      </w:r>
      <w:proofErr w:type="spellEnd"/>
      <w:r w:rsidRPr="005C49B9">
        <w:rPr>
          <w:rFonts w:ascii="Verdana" w:hAnsi="Verdana"/>
          <w:sz w:val="24"/>
          <w:szCs w:val="24"/>
          <w:lang w:val="en-US"/>
        </w:rPr>
        <w:t xml:space="preserve">. </w:t>
      </w:r>
      <w:proofErr w:type="gramStart"/>
      <w:r w:rsidRPr="005C49B9">
        <w:rPr>
          <w:rFonts w:ascii="Verdana" w:hAnsi="Verdana"/>
          <w:i/>
          <w:iCs/>
          <w:sz w:val="24"/>
          <w:szCs w:val="24"/>
          <w:lang w:val="en-US"/>
        </w:rPr>
        <w:t>Relative Truth, Ultimate Truth</w:t>
      </w:r>
      <w:r w:rsidRPr="005C49B9">
        <w:rPr>
          <w:rFonts w:ascii="Verdana" w:hAnsi="Verdana"/>
          <w:sz w:val="24"/>
          <w:szCs w:val="24"/>
          <w:lang w:val="en-US"/>
        </w:rPr>
        <w:t xml:space="preserve"> (The Foundation of Buddhist Thought, Volume 2).</w:t>
      </w:r>
      <w:proofErr w:type="gramEnd"/>
      <w:r w:rsidRPr="005C49B9">
        <w:rPr>
          <w:rFonts w:ascii="Verdana" w:hAnsi="Verdana"/>
          <w:sz w:val="24"/>
          <w:szCs w:val="24"/>
          <w:lang w:val="en-US"/>
        </w:rPr>
        <w:t xml:space="preserve"> Somerville, MA: Wisdom Publications, 2008</w:t>
      </w:r>
      <w:r>
        <w:rPr>
          <w:rFonts w:ascii="Verdana" w:hAnsi="Verdana"/>
          <w:sz w:val="24"/>
          <w:szCs w:val="24"/>
          <w:lang w:val="en-US"/>
        </w:rPr>
        <w:t xml:space="preserve">. </w:t>
      </w:r>
      <w:r w:rsidRPr="005C49B9">
        <w:rPr>
          <w:rFonts w:ascii="Verdana" w:hAnsi="Verdana"/>
          <w:sz w:val="24"/>
          <w:szCs w:val="24"/>
          <w:lang w:val="en-US"/>
        </w:rPr>
        <w:t xml:space="preserve">(Pages </w:t>
      </w:r>
      <w:r>
        <w:rPr>
          <w:rFonts w:ascii="Verdana" w:hAnsi="Verdana"/>
          <w:sz w:val="24"/>
          <w:szCs w:val="24"/>
          <w:lang w:val="en-US"/>
        </w:rPr>
        <w:t>39</w:t>
      </w:r>
      <w:r w:rsidRPr="005C49B9">
        <w:rPr>
          <w:rFonts w:ascii="Verdana" w:hAnsi="Verdana"/>
          <w:sz w:val="24"/>
          <w:szCs w:val="24"/>
          <w:lang w:val="en-US"/>
        </w:rPr>
        <w:t>-</w:t>
      </w:r>
      <w:r>
        <w:rPr>
          <w:rFonts w:ascii="Verdana" w:hAnsi="Verdana"/>
          <w:sz w:val="24"/>
          <w:szCs w:val="24"/>
          <w:lang w:val="en-US"/>
        </w:rPr>
        <w:t>40.</w:t>
      </w:r>
      <w:r w:rsidRPr="005C49B9">
        <w:rPr>
          <w:rFonts w:ascii="Verdana" w:hAnsi="Verdana"/>
          <w:sz w:val="24"/>
          <w:szCs w:val="24"/>
          <w:lang w:val="en-US"/>
        </w:rPr>
        <w:t>)</w:t>
      </w:r>
    </w:p>
    <w:p w:rsidR="005C49B9" w:rsidRPr="005C49B9" w:rsidRDefault="005C49B9" w:rsidP="005C49B9">
      <w:pPr>
        <w:ind w:left="720"/>
        <w:rPr>
          <w:rFonts w:ascii="Verdana" w:hAnsi="Verdana"/>
          <w:sz w:val="24"/>
          <w:szCs w:val="24"/>
          <w:lang w:val="en-US"/>
        </w:rPr>
      </w:pPr>
    </w:p>
    <w:sectPr w:rsidR="005C49B9" w:rsidRPr="005C49B9" w:rsidSect="005C49B9">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540" w:rsidRDefault="00BF4540" w:rsidP="005C49B9">
      <w:pPr>
        <w:spacing w:after="0" w:line="240" w:lineRule="auto"/>
      </w:pPr>
      <w:r>
        <w:separator/>
      </w:r>
    </w:p>
  </w:endnote>
  <w:endnote w:type="continuationSeparator" w:id="0">
    <w:p w:rsidR="00BF4540" w:rsidRDefault="00BF4540" w:rsidP="005C49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5998"/>
      <w:docPartObj>
        <w:docPartGallery w:val="Page Numbers (Bottom of Page)"/>
        <w:docPartUnique/>
      </w:docPartObj>
    </w:sdtPr>
    <w:sdtContent>
      <w:p w:rsidR="005C49B9" w:rsidRDefault="005C49B9">
        <w:pPr>
          <w:pStyle w:val="Footer"/>
          <w:jc w:val="center"/>
        </w:pPr>
        <w:fldSimple w:instr=" PAGE   \* MERGEFORMAT ">
          <w:r>
            <w:rPr>
              <w:noProof/>
            </w:rPr>
            <w:t>2</w:t>
          </w:r>
        </w:fldSimple>
      </w:p>
    </w:sdtContent>
  </w:sdt>
  <w:p w:rsidR="005C49B9" w:rsidRDefault="005C49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540" w:rsidRDefault="00BF4540" w:rsidP="005C49B9">
      <w:pPr>
        <w:spacing w:after="0" w:line="240" w:lineRule="auto"/>
      </w:pPr>
      <w:r>
        <w:separator/>
      </w:r>
    </w:p>
  </w:footnote>
  <w:footnote w:type="continuationSeparator" w:id="0">
    <w:p w:rsidR="00BF4540" w:rsidRDefault="00BF4540" w:rsidP="005C49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4321"/>
    <w:multiLevelType w:val="hybridMultilevel"/>
    <w:tmpl w:val="FBE04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F9C47F4"/>
    <w:multiLevelType w:val="hybridMultilevel"/>
    <w:tmpl w:val="60448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32D78F1"/>
    <w:multiLevelType w:val="hybridMultilevel"/>
    <w:tmpl w:val="1B560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C49B9"/>
    <w:rsid w:val="00381B09"/>
    <w:rsid w:val="005C49B9"/>
    <w:rsid w:val="00AD00D9"/>
    <w:rsid w:val="00BF4540"/>
    <w:rsid w:val="00EB05D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D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9B9"/>
    <w:pPr>
      <w:ind w:left="720"/>
      <w:contextualSpacing/>
    </w:pPr>
  </w:style>
  <w:style w:type="paragraph" w:styleId="Header">
    <w:name w:val="header"/>
    <w:basedOn w:val="Normal"/>
    <w:link w:val="HeaderChar"/>
    <w:uiPriority w:val="99"/>
    <w:semiHidden/>
    <w:unhideWhenUsed/>
    <w:rsid w:val="005C49B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49B9"/>
  </w:style>
  <w:style w:type="paragraph" w:styleId="Footer">
    <w:name w:val="footer"/>
    <w:basedOn w:val="Normal"/>
    <w:link w:val="FooterChar"/>
    <w:uiPriority w:val="99"/>
    <w:unhideWhenUsed/>
    <w:rsid w:val="005C4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9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277</Words>
  <Characters>1585</Characters>
  <Application>Microsoft Office Word</Application>
  <DocSecurity>0</DocSecurity>
  <Lines>13</Lines>
  <Paragraphs>3</Paragraphs>
  <ScaleCrop>false</ScaleCrop>
  <Company>Hewlett-Packard Company</Company>
  <LinksUpToDate>false</LinksUpToDate>
  <CharactersWithSpaces>1859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2014-06-11T05:33:00Z</dcterms:created>
  <dcterms:modified xsi:type="dcterms:W3CDTF">2014-06-11T05:41:00Z</dcterms:modified>
</cp:coreProperties>
</file>